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7560B9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19.09. </w:t>
      </w:r>
      <w:r w:rsidR="003420EA" w:rsidRPr="003420EA">
        <w:rPr>
          <w:bCs w:val="0"/>
          <w:sz w:val="24"/>
          <w:szCs w:val="24"/>
        </w:rPr>
        <w:t>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7D45B3" w:rsidRPr="007D45B3">
        <w:t>«О внесении изменений в Положение об организации и проведении Законодательным Собранием Новосибирской области конкурсов общественно значимой направленности»</w:t>
      </w:r>
      <w:bookmarkStart w:id="0" w:name="_GoBack"/>
      <w:bookmarkEnd w:id="0"/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FAA" w:rsidRDefault="00704FAA">
      <w:r>
        <w:separator/>
      </w:r>
    </w:p>
  </w:endnote>
  <w:endnote w:type="continuationSeparator" w:id="0">
    <w:p w:rsidR="00704FAA" w:rsidRDefault="0070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FAA" w:rsidRDefault="00704FAA">
      <w:r>
        <w:separator/>
      </w:r>
    </w:p>
  </w:footnote>
  <w:footnote w:type="continuationSeparator" w:id="0">
    <w:p w:rsidR="00704FAA" w:rsidRDefault="00704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C539C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282E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04FAA"/>
    <w:rsid w:val="00713D3B"/>
    <w:rsid w:val="007222E3"/>
    <w:rsid w:val="00751C18"/>
    <w:rsid w:val="007560B9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D45B3"/>
    <w:rsid w:val="007E19F3"/>
    <w:rsid w:val="007E3576"/>
    <w:rsid w:val="007E5E5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489F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74818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4442A4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B8419-2496-4F19-8502-6D1E61C6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2023-06-19T10:19:00Z</cp:lastPrinted>
  <dcterms:created xsi:type="dcterms:W3CDTF">2023-08-28T05:30:00Z</dcterms:created>
  <dcterms:modified xsi:type="dcterms:W3CDTF">2023-08-28T05:30:00Z</dcterms:modified>
</cp:coreProperties>
</file>